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89" w:rsidRDefault="001E0C89" w:rsidP="00114B46">
      <w:pPr>
        <w:jc w:val="center"/>
      </w:pPr>
      <w:r>
        <w:t>КИКВИДЗЕНСКАЯ РАЙОННАЯ ДУМА</w:t>
      </w:r>
    </w:p>
    <w:p w:rsidR="002F1580" w:rsidRDefault="002F1580" w:rsidP="00114B46">
      <w:pPr>
        <w:jc w:val="center"/>
      </w:pPr>
      <w:r>
        <w:t>ВОЛГОГРАДСКОЙ ОБЛАСТИ</w:t>
      </w:r>
    </w:p>
    <w:p w:rsidR="001E0C89" w:rsidRDefault="001E0C89" w:rsidP="00400D6B">
      <w:pPr>
        <w:jc w:val="center"/>
      </w:pPr>
      <w:r>
        <w:t>РЕШЕНИЕ</w:t>
      </w:r>
    </w:p>
    <w:p w:rsidR="001E0C89" w:rsidRDefault="001E0C89" w:rsidP="00400D6B">
      <w:pPr>
        <w:jc w:val="center"/>
      </w:pPr>
    </w:p>
    <w:p w:rsidR="001E0C89" w:rsidRDefault="008C0827" w:rsidP="00400D6B">
      <w:pPr>
        <w:jc w:val="both"/>
      </w:pPr>
      <w:r>
        <w:t xml:space="preserve">         </w:t>
      </w:r>
      <w:r w:rsidR="001E0C89">
        <w:t xml:space="preserve">от  </w:t>
      </w:r>
      <w:r>
        <w:t>21.10</w:t>
      </w:r>
      <w:r w:rsidR="000D0EF5">
        <w:t>.20</w:t>
      </w:r>
      <w:r w:rsidR="00001D26">
        <w:t>21</w:t>
      </w:r>
      <w:r w:rsidR="001E0C89">
        <w:t xml:space="preserve"> г.                                                                                        № </w:t>
      </w:r>
      <w:r>
        <w:t>175/28</w:t>
      </w:r>
    </w:p>
    <w:p w:rsidR="001E0C89" w:rsidRPr="00B36079" w:rsidRDefault="001E0C89" w:rsidP="00B36079">
      <w:pPr>
        <w:tabs>
          <w:tab w:val="left" w:pos="3060"/>
          <w:tab w:val="right" w:pos="9355"/>
        </w:tabs>
        <w:rPr>
          <w:sz w:val="22"/>
          <w:szCs w:val="22"/>
        </w:rPr>
      </w:pPr>
      <w:r w:rsidRPr="00B36079">
        <w:rPr>
          <w:sz w:val="22"/>
          <w:szCs w:val="22"/>
        </w:rPr>
        <w:tab/>
      </w:r>
    </w:p>
    <w:p w:rsidR="00C3755F" w:rsidRDefault="001E0C89">
      <w:pPr>
        <w:jc w:val="both"/>
      </w:pPr>
      <w:r w:rsidRPr="00BB5F81">
        <w:t xml:space="preserve">О </w:t>
      </w:r>
      <w:r w:rsidR="008C4373">
        <w:t>согласовании принятия</w:t>
      </w:r>
      <w:r w:rsidR="00A96718">
        <w:t xml:space="preserve"> </w:t>
      </w:r>
      <w:r w:rsidR="00C3755F">
        <w:t xml:space="preserve">имущества </w:t>
      </w:r>
      <w:r w:rsidR="00D66D23">
        <w:t xml:space="preserve">из государственной собственности </w:t>
      </w:r>
    </w:p>
    <w:p w:rsidR="00C3755F" w:rsidRDefault="003F330E">
      <w:pPr>
        <w:jc w:val="both"/>
      </w:pPr>
      <w:r>
        <w:t xml:space="preserve">Волгоградской </w:t>
      </w:r>
      <w:r w:rsidR="001E0C89" w:rsidRPr="00BB5F81">
        <w:t xml:space="preserve"> </w:t>
      </w:r>
      <w:r w:rsidR="00E24F55">
        <w:t>области</w:t>
      </w:r>
      <w:r w:rsidR="00D66D23">
        <w:t xml:space="preserve"> </w:t>
      </w:r>
      <w:r w:rsidR="001E0C89" w:rsidRPr="00BB5F81">
        <w:t xml:space="preserve">в </w:t>
      </w:r>
      <w:r w:rsidR="00D66D23">
        <w:t xml:space="preserve">муниципальную </w:t>
      </w:r>
      <w:r w:rsidR="001E0C89" w:rsidRPr="00BB5F81">
        <w:t xml:space="preserve">собственность </w:t>
      </w:r>
    </w:p>
    <w:p w:rsidR="001E0C89" w:rsidRPr="00BB5F81" w:rsidRDefault="001E0C89">
      <w:pPr>
        <w:jc w:val="both"/>
      </w:pPr>
      <w:proofErr w:type="spellStart"/>
      <w:r w:rsidRPr="00BB5F81">
        <w:t>Киквидзенского</w:t>
      </w:r>
      <w:proofErr w:type="spellEnd"/>
      <w:r w:rsidR="00A96718">
        <w:t xml:space="preserve"> </w:t>
      </w:r>
      <w:r w:rsidRPr="00BB5F81">
        <w:t>муниципального района Волгоградской области</w:t>
      </w:r>
    </w:p>
    <w:p w:rsidR="001E0C89" w:rsidRDefault="001E0C89" w:rsidP="00F63492">
      <w:pPr>
        <w:jc w:val="both"/>
      </w:pPr>
    </w:p>
    <w:p w:rsidR="001E0C89" w:rsidRPr="00BB5F81" w:rsidRDefault="00F00962" w:rsidP="008458D2">
      <w:pPr>
        <w:spacing w:line="276" w:lineRule="auto"/>
        <w:ind w:firstLine="708"/>
        <w:jc w:val="both"/>
      </w:pPr>
      <w:proofErr w:type="gramStart"/>
      <w:r w:rsidRPr="00BB5F81">
        <w:t xml:space="preserve">Рассмотрев обращение </w:t>
      </w:r>
      <w:r w:rsidR="00C3755F">
        <w:t>к</w:t>
      </w:r>
      <w:r w:rsidR="007A792A">
        <w:t xml:space="preserve">омитета </w:t>
      </w:r>
      <w:r w:rsidR="00590BA6">
        <w:t>культуры</w:t>
      </w:r>
      <w:r w:rsidR="00AF3D5A">
        <w:t xml:space="preserve"> </w:t>
      </w:r>
      <w:r w:rsidR="007A792A">
        <w:t>Волгоградской области</w:t>
      </w:r>
      <w:r w:rsidRPr="00BB5F81">
        <w:t xml:space="preserve">, содержащее предложение о передаче из государственной собственности Волгоградской области в муниципальную собственность </w:t>
      </w:r>
      <w:proofErr w:type="spellStart"/>
      <w:r w:rsidRPr="00BB5F81">
        <w:t>Киквидзенского</w:t>
      </w:r>
      <w:proofErr w:type="spellEnd"/>
      <w:r w:rsidRPr="00BB5F81">
        <w:t xml:space="preserve"> муниципального района Волгоградской области </w:t>
      </w:r>
      <w:r w:rsidR="00001D26">
        <w:t xml:space="preserve">музыкальных инструментов </w:t>
      </w:r>
      <w:r w:rsidR="00001D26" w:rsidRPr="004E3ADF">
        <w:t xml:space="preserve">для последующего закрепления </w:t>
      </w:r>
      <w:r w:rsidR="00532540">
        <w:t>на праве оперативного управления</w:t>
      </w:r>
      <w:r w:rsidR="00532540" w:rsidRPr="004E3ADF">
        <w:t xml:space="preserve"> </w:t>
      </w:r>
      <w:r w:rsidR="00001D26" w:rsidRPr="004E3ADF">
        <w:t>за</w:t>
      </w:r>
      <w:r w:rsidR="00590BA6">
        <w:t xml:space="preserve"> </w:t>
      </w:r>
      <w:r w:rsidR="00532540">
        <w:t xml:space="preserve">муниципальным казенным </w:t>
      </w:r>
      <w:r w:rsidR="0084264A">
        <w:t>учреждени</w:t>
      </w:r>
      <w:r w:rsidR="00001D26">
        <w:t>ем</w:t>
      </w:r>
      <w:r w:rsidR="0084264A">
        <w:t xml:space="preserve"> дополнительного образования</w:t>
      </w:r>
      <w:r w:rsidR="00590BA6">
        <w:t xml:space="preserve"> </w:t>
      </w:r>
      <w:r w:rsidR="0084264A">
        <w:t>«</w:t>
      </w:r>
      <w:proofErr w:type="spellStart"/>
      <w:r w:rsidR="0084264A">
        <w:t>Киквидзенская</w:t>
      </w:r>
      <w:proofErr w:type="spellEnd"/>
      <w:r w:rsidR="0084264A">
        <w:t xml:space="preserve"> детская музыкальная школа» </w:t>
      </w:r>
      <w:proofErr w:type="spellStart"/>
      <w:r w:rsidR="00532540">
        <w:t>Киквидзенского</w:t>
      </w:r>
      <w:proofErr w:type="spellEnd"/>
      <w:r w:rsidR="00532540">
        <w:t xml:space="preserve"> муниципального района Волгоградской области</w:t>
      </w:r>
      <w:r w:rsidR="00590BA6">
        <w:t>,</w:t>
      </w:r>
      <w:r w:rsidR="00BB1BDD">
        <w:t xml:space="preserve"> </w:t>
      </w:r>
      <w:r w:rsidR="002F0E1E">
        <w:t>руководствуясь</w:t>
      </w:r>
      <w:r w:rsidR="001E0C89" w:rsidRPr="00BB5F81">
        <w:t xml:space="preserve"> </w:t>
      </w:r>
      <w:r w:rsidR="007A792A">
        <w:t>распоряжением</w:t>
      </w:r>
      <w:r w:rsidR="001E0C89" w:rsidRPr="00BB5F81">
        <w:t xml:space="preserve"> Правительства Российской Федерации от 13.06.2006 года № 374 «О перечнях документов, необходимых</w:t>
      </w:r>
      <w:proofErr w:type="gramEnd"/>
      <w:r w:rsidR="001E0C89" w:rsidRPr="00BB5F81">
        <w:t xml:space="preserve"> </w:t>
      </w:r>
      <w:proofErr w:type="gramStart"/>
      <w:r w:rsidR="001E0C89" w:rsidRPr="00BB5F81">
        <w:t>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 w:rsidR="008C4373">
        <w:t>убъекта Российской Федерации»</w:t>
      </w:r>
      <w:r w:rsidR="00154539">
        <w:t>,</w:t>
      </w:r>
      <w:r w:rsidR="001E0C89" w:rsidRPr="00BB5F81">
        <w:t xml:space="preserve"> </w:t>
      </w:r>
      <w:r w:rsidR="00154539">
        <w:t>пунктом</w:t>
      </w:r>
      <w:r w:rsidR="001E0C89" w:rsidRPr="00B15631">
        <w:t xml:space="preserve"> 3</w:t>
      </w:r>
      <w:r w:rsidR="004A2D1D">
        <w:t>1</w:t>
      </w:r>
      <w:r w:rsidR="00CA2FA9">
        <w:t xml:space="preserve"> части</w:t>
      </w:r>
      <w:r w:rsidR="00A10E89">
        <w:t xml:space="preserve"> </w:t>
      </w:r>
      <w:r w:rsidR="00CA2FA9">
        <w:t>1</w:t>
      </w:r>
      <w:r w:rsidR="00154539">
        <w:t xml:space="preserve"> статьи</w:t>
      </w:r>
      <w:r w:rsidR="001E0C89" w:rsidRPr="00B15631">
        <w:t xml:space="preserve"> 18</w:t>
      </w:r>
      <w:r w:rsidR="001E0C89" w:rsidRPr="00BB5F81">
        <w:t xml:space="preserve"> Устава </w:t>
      </w:r>
      <w:proofErr w:type="spellStart"/>
      <w:r w:rsidR="001E0C89" w:rsidRPr="00BB5F81">
        <w:t>Киквидзенского</w:t>
      </w:r>
      <w:proofErr w:type="spellEnd"/>
      <w:r w:rsidR="001E0C89" w:rsidRPr="00BB5F81">
        <w:t xml:space="preserve"> муниципального района, </w:t>
      </w:r>
      <w:proofErr w:type="spellStart"/>
      <w:r w:rsidR="001E0C89" w:rsidRPr="00BB5F81">
        <w:t>Киквидзенская</w:t>
      </w:r>
      <w:proofErr w:type="spellEnd"/>
      <w:r w:rsidR="001E0C89" w:rsidRPr="00BB5F81">
        <w:t xml:space="preserve"> районная Дума</w:t>
      </w:r>
      <w:r w:rsidR="002F1580">
        <w:t xml:space="preserve"> Волгоградской области</w:t>
      </w:r>
      <w:proofErr w:type="gramEnd"/>
    </w:p>
    <w:p w:rsidR="001E0C89" w:rsidRPr="00A904CB" w:rsidRDefault="001E0C89" w:rsidP="008458D2">
      <w:pPr>
        <w:spacing w:line="276" w:lineRule="auto"/>
        <w:jc w:val="both"/>
      </w:pPr>
      <w:r w:rsidRPr="00A904CB">
        <w:t>РЕШИЛА:</w:t>
      </w:r>
    </w:p>
    <w:p w:rsidR="008C4373" w:rsidRDefault="008C4373" w:rsidP="008C4373">
      <w:pPr>
        <w:numPr>
          <w:ilvl w:val="0"/>
          <w:numId w:val="12"/>
        </w:numPr>
        <w:jc w:val="both"/>
      </w:pPr>
      <w:r w:rsidRPr="00A904CB">
        <w:t xml:space="preserve">Согласовать </w:t>
      </w:r>
      <w:r>
        <w:t>принятие</w:t>
      </w:r>
      <w:r w:rsidRPr="00A904CB">
        <w:t xml:space="preserve"> в муниципальную собственность </w:t>
      </w:r>
      <w:proofErr w:type="spellStart"/>
      <w:r w:rsidRPr="00A904CB">
        <w:t>Киквидзенского</w:t>
      </w:r>
      <w:proofErr w:type="spellEnd"/>
      <w:r w:rsidRPr="00A904CB">
        <w:t xml:space="preserve"> муниципального района Волгоградской области из собственности Волгоградской области </w:t>
      </w:r>
      <w:r w:rsidR="00532540">
        <w:t>музыкальные инструменты</w:t>
      </w:r>
      <w:r w:rsidR="00FE0971">
        <w:t>,</w:t>
      </w:r>
      <w:r w:rsidR="00E53C30">
        <w:t xml:space="preserve"> согласно приложению.</w:t>
      </w:r>
    </w:p>
    <w:p w:rsidR="002F1580" w:rsidRPr="00A904CB" w:rsidRDefault="002F1580" w:rsidP="002F1580">
      <w:pPr>
        <w:jc w:val="both"/>
      </w:pPr>
    </w:p>
    <w:p w:rsidR="008C4373" w:rsidRPr="00A904CB" w:rsidRDefault="008C4373" w:rsidP="008C4373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A904CB">
        <w:t xml:space="preserve">Настоящее решение </w:t>
      </w:r>
      <w:r>
        <w:t xml:space="preserve">вступает в силу с момента официального </w:t>
      </w:r>
      <w:r w:rsidRPr="00A904CB">
        <w:t>опубликова</w:t>
      </w:r>
      <w:r>
        <w:t>ния.</w:t>
      </w:r>
      <w:r w:rsidRPr="00A904CB">
        <w:t xml:space="preserve"> </w:t>
      </w:r>
    </w:p>
    <w:p w:rsidR="001E0C89" w:rsidRDefault="001E0C89" w:rsidP="008C4373">
      <w:pPr>
        <w:spacing w:line="276" w:lineRule="auto"/>
        <w:jc w:val="both"/>
      </w:pPr>
    </w:p>
    <w:p w:rsidR="00532540" w:rsidRDefault="00532540" w:rsidP="00532540">
      <w:pPr>
        <w:jc w:val="both"/>
      </w:pPr>
    </w:p>
    <w:p w:rsidR="00532540" w:rsidRDefault="00532540" w:rsidP="00532540">
      <w:pPr>
        <w:jc w:val="both"/>
      </w:pPr>
    </w:p>
    <w:p w:rsidR="00532540" w:rsidRDefault="00532540" w:rsidP="00532540">
      <w:pPr>
        <w:jc w:val="both"/>
      </w:pPr>
      <w:r>
        <w:t xml:space="preserve">Председатель </w:t>
      </w:r>
      <w:proofErr w:type="spellStart"/>
      <w:r>
        <w:t>Киквидзенской</w:t>
      </w:r>
      <w:proofErr w:type="spellEnd"/>
      <w:r>
        <w:t xml:space="preserve"> </w:t>
      </w:r>
    </w:p>
    <w:p w:rsidR="00532540" w:rsidRDefault="00532540" w:rsidP="00532540">
      <w:pPr>
        <w:jc w:val="both"/>
      </w:pPr>
      <w:r>
        <w:t>районной Думы Волгоградской области</w:t>
      </w:r>
      <w:r>
        <w:tab/>
      </w:r>
      <w:r>
        <w:tab/>
      </w:r>
      <w:r>
        <w:tab/>
      </w:r>
      <w:r>
        <w:tab/>
      </w:r>
      <w:r>
        <w:tab/>
        <w:t>С. А. Рябов</w:t>
      </w:r>
    </w:p>
    <w:p w:rsidR="008C2BF5" w:rsidRDefault="008C2BF5" w:rsidP="00114B46">
      <w:pPr>
        <w:jc w:val="both"/>
      </w:pPr>
    </w:p>
    <w:p w:rsidR="008C2BF5" w:rsidRDefault="00C5126E" w:rsidP="00114B46">
      <w:pPr>
        <w:jc w:val="both"/>
      </w:pPr>
      <w:r>
        <w:t xml:space="preserve">Глава </w:t>
      </w:r>
      <w:proofErr w:type="spellStart"/>
      <w:r>
        <w:t>Киквидзенского</w:t>
      </w:r>
      <w:proofErr w:type="spellEnd"/>
    </w:p>
    <w:p w:rsidR="00C5126E" w:rsidRDefault="00C5126E" w:rsidP="00114B46">
      <w:pPr>
        <w:jc w:val="both"/>
      </w:pPr>
      <w:r>
        <w:t>муниципального района</w:t>
      </w:r>
    </w:p>
    <w:p w:rsidR="00C5126E" w:rsidRDefault="00C5126E" w:rsidP="008C4373">
      <w:pPr>
        <w:tabs>
          <w:tab w:val="left" w:pos="6915"/>
        </w:tabs>
        <w:jc w:val="both"/>
      </w:pPr>
      <w:r>
        <w:t>Волгоградской области</w:t>
      </w:r>
      <w:r w:rsidR="008C4373">
        <w:tab/>
        <w:t>С. Н. Савин</w:t>
      </w:r>
    </w:p>
    <w:p w:rsidR="008C2BF5" w:rsidRPr="00A904CB" w:rsidRDefault="008C2BF5" w:rsidP="00114B46">
      <w:pPr>
        <w:jc w:val="both"/>
      </w:pPr>
    </w:p>
    <w:p w:rsidR="00840484" w:rsidRDefault="00840484" w:rsidP="00114B46">
      <w:pPr>
        <w:jc w:val="both"/>
      </w:pPr>
    </w:p>
    <w:p w:rsidR="00840484" w:rsidRDefault="00840484" w:rsidP="00114B46">
      <w:pPr>
        <w:jc w:val="both"/>
      </w:pPr>
    </w:p>
    <w:p w:rsidR="00840484" w:rsidRDefault="00840484" w:rsidP="00114B46">
      <w:pPr>
        <w:jc w:val="both"/>
      </w:pPr>
    </w:p>
    <w:p w:rsidR="001E0C89" w:rsidRDefault="001E0C89" w:rsidP="00114B46">
      <w:pPr>
        <w:jc w:val="both"/>
      </w:pPr>
    </w:p>
    <w:p w:rsidR="00E53C30" w:rsidRDefault="00E53C30" w:rsidP="00114B46">
      <w:pPr>
        <w:jc w:val="both"/>
      </w:pPr>
    </w:p>
    <w:p w:rsidR="00E53C30" w:rsidRDefault="00E53C30" w:rsidP="00114B46">
      <w:pPr>
        <w:jc w:val="both"/>
      </w:pPr>
    </w:p>
    <w:p w:rsidR="00E53C30" w:rsidRDefault="00E53C30" w:rsidP="00114B46">
      <w:pPr>
        <w:jc w:val="both"/>
      </w:pPr>
    </w:p>
    <w:p w:rsidR="004428B6" w:rsidRDefault="004428B6" w:rsidP="00114B46">
      <w:pPr>
        <w:jc w:val="both"/>
        <w:sectPr w:rsidR="004428B6" w:rsidSect="00E53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lastRenderedPageBreak/>
        <w:t>Приложение</w:t>
      </w:r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t xml:space="preserve">к решению </w:t>
      </w:r>
      <w:proofErr w:type="spellStart"/>
      <w:r w:rsidRPr="004428B6">
        <w:t>Киквидзенской</w:t>
      </w:r>
      <w:proofErr w:type="spellEnd"/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t xml:space="preserve">районной Думы </w:t>
      </w:r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t>Волгоградской области</w:t>
      </w:r>
    </w:p>
    <w:p w:rsidR="004428B6" w:rsidRPr="004428B6" w:rsidRDefault="004428B6" w:rsidP="004428B6">
      <w:pPr>
        <w:spacing w:line="240" w:lineRule="exact"/>
        <w:ind w:left="10440" w:hanging="180"/>
      </w:pPr>
      <w:r w:rsidRPr="004428B6">
        <w:t xml:space="preserve">от </w:t>
      </w:r>
      <w:r w:rsidR="008C0827">
        <w:t>21.</w:t>
      </w:r>
      <w:r w:rsidR="000D0EF5">
        <w:t>10.20</w:t>
      </w:r>
      <w:r w:rsidR="00532540">
        <w:t>21</w:t>
      </w:r>
      <w:r w:rsidR="00754062" w:rsidRPr="00754062">
        <w:t xml:space="preserve"> г.</w:t>
      </w:r>
      <w:r w:rsidR="00754062">
        <w:t xml:space="preserve"> </w:t>
      </w:r>
      <w:r w:rsidRPr="004428B6">
        <w:t xml:space="preserve">№ </w:t>
      </w:r>
      <w:r w:rsidR="008C0827">
        <w:t>175/28</w:t>
      </w:r>
    </w:p>
    <w:p w:rsidR="004428B6" w:rsidRPr="004428B6" w:rsidRDefault="004428B6" w:rsidP="004428B6">
      <w:pPr>
        <w:ind w:firstLine="8789"/>
      </w:pPr>
    </w:p>
    <w:p w:rsidR="004428B6" w:rsidRPr="004428B6" w:rsidRDefault="004428B6" w:rsidP="004428B6">
      <w:pPr>
        <w:jc w:val="center"/>
      </w:pPr>
      <w:r w:rsidRPr="004428B6">
        <w:t>ПЕРЕЧЕНЬ</w:t>
      </w:r>
    </w:p>
    <w:p w:rsidR="004428B6" w:rsidRPr="004428B6" w:rsidRDefault="004428B6" w:rsidP="004428B6">
      <w:pPr>
        <w:spacing w:line="160" w:lineRule="exact"/>
        <w:jc w:val="center"/>
      </w:pPr>
    </w:p>
    <w:p w:rsidR="004428B6" w:rsidRPr="004428B6" w:rsidRDefault="004428B6" w:rsidP="004428B6">
      <w:pPr>
        <w:spacing w:line="240" w:lineRule="exact"/>
        <w:jc w:val="center"/>
      </w:pPr>
      <w:r w:rsidRPr="004428B6">
        <w:t>имущества, передаваемого безвозмездно из собственности Волгоградской области</w:t>
      </w:r>
      <w:r w:rsidRPr="004428B6">
        <w:br/>
        <w:t xml:space="preserve">в муниципальную собственность </w:t>
      </w:r>
      <w:proofErr w:type="spellStart"/>
      <w:r w:rsidRPr="004428B6">
        <w:t>Киквидзенского</w:t>
      </w:r>
      <w:proofErr w:type="spellEnd"/>
      <w:r w:rsidRPr="004428B6">
        <w:t xml:space="preserve"> муниципального района Волгоградской области</w:t>
      </w:r>
    </w:p>
    <w:p w:rsidR="004428B6" w:rsidRPr="004428B6" w:rsidRDefault="004428B6" w:rsidP="004428B6">
      <w:pPr>
        <w:spacing w:line="180" w:lineRule="exact"/>
        <w:jc w:val="center"/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2837"/>
        <w:gridCol w:w="2693"/>
        <w:gridCol w:w="3826"/>
        <w:gridCol w:w="3262"/>
      </w:tblGrid>
      <w:tr w:rsidR="00532540" w:rsidRPr="00A32DB7" w:rsidTr="00532540">
        <w:trPr>
          <w:cantSplit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Адрес места нахождения организации,</w:t>
            </w:r>
          </w:p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Индивидуализирующие характеристики</w:t>
            </w:r>
          </w:p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имущества</w:t>
            </w:r>
          </w:p>
        </w:tc>
      </w:tr>
      <w:tr w:rsidR="00532540" w:rsidRPr="00A32DB7" w:rsidTr="00532540">
        <w:trPr>
          <w:cantSplit/>
        </w:trPr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0B61">
              <w:rPr>
                <w:sz w:val="28"/>
                <w:szCs w:val="28"/>
              </w:rPr>
              <w:t>5</w:t>
            </w:r>
          </w:p>
        </w:tc>
      </w:tr>
      <w:tr w:rsidR="00532540" w:rsidRPr="00A32DB7" w:rsidTr="00532540">
        <w:trPr>
          <w:cantSplit/>
          <w:tblHeader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9E0B61" w:rsidRDefault="00532540" w:rsidP="001E73E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Волгоградской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400066, Волгоград, пл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авших Борцов, д.2</w:t>
            </w:r>
          </w:p>
          <w:p w:rsidR="00532540" w:rsidRPr="009E0B61" w:rsidRDefault="00532540" w:rsidP="001E73E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CA36A3">
              <w:rPr>
                <w:sz w:val="28"/>
                <w:szCs w:val="28"/>
              </w:rPr>
              <w:t>3444051490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4A4BC6" w:rsidRDefault="00532540" w:rsidP="001E73E0">
            <w:pPr>
              <w:spacing w:line="240" w:lineRule="exact"/>
              <w:rPr>
                <w:sz w:val="28"/>
                <w:szCs w:val="28"/>
              </w:rPr>
            </w:pPr>
            <w:r w:rsidRPr="004A4BC6">
              <w:rPr>
                <w:sz w:val="28"/>
                <w:szCs w:val="28"/>
              </w:rPr>
              <w:t>Пианино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4A4BC6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E23F6">
              <w:rPr>
                <w:color w:val="000000"/>
                <w:sz w:val="28"/>
                <w:szCs w:val="28"/>
              </w:rPr>
              <w:t xml:space="preserve">403221, Волгоградская область, </w:t>
            </w:r>
            <w:proofErr w:type="spellStart"/>
            <w:r w:rsidRPr="001E23F6">
              <w:rPr>
                <w:color w:val="000000"/>
                <w:sz w:val="28"/>
                <w:szCs w:val="28"/>
              </w:rPr>
              <w:t>Киквидзенский</w:t>
            </w:r>
            <w:proofErr w:type="spellEnd"/>
            <w:r w:rsidRPr="001E23F6">
              <w:rPr>
                <w:color w:val="000000"/>
                <w:sz w:val="28"/>
                <w:szCs w:val="28"/>
              </w:rPr>
              <w:t xml:space="preserve"> район, станица Преображенская, ул. Мира, д.44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Инвентарный номер</w:t>
            </w:r>
          </w:p>
          <w:p w:rsidR="00532540" w:rsidRPr="004A4BC6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74A6F">
              <w:rPr>
                <w:color w:val="000000"/>
                <w:sz w:val="28"/>
                <w:szCs w:val="28"/>
              </w:rPr>
              <w:t>812510100</w:t>
            </w:r>
            <w:r>
              <w:rPr>
                <w:color w:val="000000"/>
                <w:sz w:val="28"/>
                <w:szCs w:val="28"/>
              </w:rPr>
              <w:t>94</w:t>
            </w:r>
          </w:p>
        </w:tc>
      </w:tr>
      <w:tr w:rsidR="00532540" w:rsidRPr="00A32DB7" w:rsidTr="00532540">
        <w:trPr>
          <w:cantSplit/>
          <w:tblHeader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4A4BC6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6910C0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532540" w:rsidRPr="00A32DB7" w:rsidTr="00532540">
        <w:trPr>
          <w:cantSplit/>
          <w:tblHeader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4A4BC6" w:rsidRDefault="00532540" w:rsidP="001E73E0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57453F">
              <w:rPr>
                <w:sz w:val="28"/>
                <w:szCs w:val="28"/>
              </w:rPr>
              <w:t>Набор деревянных духовых музыкальных инструментов (Флейта (2шт.), кларнет (3 шт.), саксофон-альт (2 шт.), гобой (2 шт.), фагот (1 шт.))</w:t>
            </w:r>
            <w:proofErr w:type="gramEnd"/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4A4BC6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E23F6">
              <w:rPr>
                <w:color w:val="000000"/>
                <w:sz w:val="28"/>
                <w:szCs w:val="28"/>
              </w:rPr>
              <w:t xml:space="preserve">403221, Волгоградская область, </w:t>
            </w:r>
            <w:proofErr w:type="spellStart"/>
            <w:r w:rsidRPr="001E23F6">
              <w:rPr>
                <w:color w:val="000000"/>
                <w:sz w:val="28"/>
                <w:szCs w:val="28"/>
              </w:rPr>
              <w:t>Киквидзенский</w:t>
            </w:r>
            <w:proofErr w:type="spellEnd"/>
            <w:r w:rsidRPr="001E23F6">
              <w:rPr>
                <w:color w:val="000000"/>
                <w:sz w:val="28"/>
                <w:szCs w:val="28"/>
              </w:rPr>
              <w:t xml:space="preserve"> район, станица Преображенская, ул. Мира, д.44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Инвентарный номер</w:t>
            </w:r>
          </w:p>
          <w:p w:rsidR="00532540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74A6F">
              <w:rPr>
                <w:color w:val="000000"/>
                <w:sz w:val="28"/>
                <w:szCs w:val="28"/>
              </w:rPr>
              <w:t>812510100</w:t>
            </w: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532540" w:rsidRPr="00A32DB7" w:rsidTr="00532540">
        <w:trPr>
          <w:cantSplit/>
          <w:tblHeader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57453F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1E23F6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532540" w:rsidRPr="00A32DB7" w:rsidTr="00532540">
        <w:trPr>
          <w:cantSplit/>
          <w:tblHeader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57453F" w:rsidRDefault="00532540" w:rsidP="001E73E0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B8557A">
              <w:rPr>
                <w:sz w:val="28"/>
                <w:szCs w:val="28"/>
              </w:rPr>
              <w:t>Набор медных духовых музыкальных инструментов (Труба (4 шт.), тенор (2 шт.), баритон (1 шт.), туба (1 шт.), валторна (2 шт.), тромбон (2 шт.))</w:t>
            </w:r>
            <w:proofErr w:type="gramEnd"/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Pr="001E23F6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E23F6">
              <w:rPr>
                <w:color w:val="000000"/>
                <w:sz w:val="28"/>
                <w:szCs w:val="28"/>
              </w:rPr>
              <w:t xml:space="preserve">403221, Волгоградская область, </w:t>
            </w:r>
            <w:proofErr w:type="spellStart"/>
            <w:r w:rsidRPr="001E23F6">
              <w:rPr>
                <w:color w:val="000000"/>
                <w:sz w:val="28"/>
                <w:szCs w:val="28"/>
              </w:rPr>
              <w:t>Киквидзенский</w:t>
            </w:r>
            <w:proofErr w:type="spellEnd"/>
            <w:r w:rsidRPr="001E23F6">
              <w:rPr>
                <w:color w:val="000000"/>
                <w:sz w:val="28"/>
                <w:szCs w:val="28"/>
              </w:rPr>
              <w:t xml:space="preserve"> район, станица Преображенская, ул. Мира, д.44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32540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Инвентарный номер</w:t>
            </w:r>
          </w:p>
          <w:p w:rsidR="00532540" w:rsidRDefault="00532540" w:rsidP="001E73E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74A6F">
              <w:rPr>
                <w:color w:val="000000"/>
                <w:sz w:val="28"/>
                <w:szCs w:val="28"/>
              </w:rPr>
              <w:t>812510100</w:t>
            </w:r>
            <w:r>
              <w:rPr>
                <w:color w:val="000000"/>
                <w:sz w:val="28"/>
                <w:szCs w:val="28"/>
              </w:rPr>
              <w:t>71</w:t>
            </w:r>
          </w:p>
        </w:tc>
      </w:tr>
    </w:tbl>
    <w:p w:rsidR="00E53C30" w:rsidRPr="004428B6" w:rsidRDefault="00E53C30" w:rsidP="004428B6">
      <w:pPr>
        <w:jc w:val="both"/>
      </w:pPr>
    </w:p>
    <w:p w:rsidR="00532540" w:rsidRPr="004428B6" w:rsidRDefault="00532540">
      <w:pPr>
        <w:jc w:val="both"/>
      </w:pPr>
    </w:p>
    <w:sectPr w:rsidR="00532540" w:rsidRPr="004428B6" w:rsidSect="00442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13" w:rsidRDefault="00B53B13" w:rsidP="00E53C30">
      <w:r>
        <w:separator/>
      </w:r>
    </w:p>
  </w:endnote>
  <w:endnote w:type="continuationSeparator" w:id="1">
    <w:p w:rsidR="00B53B13" w:rsidRDefault="00B53B13" w:rsidP="00E5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13" w:rsidRDefault="00B53B13" w:rsidP="00E53C30">
      <w:r>
        <w:separator/>
      </w:r>
    </w:p>
  </w:footnote>
  <w:footnote w:type="continuationSeparator" w:id="1">
    <w:p w:rsidR="00B53B13" w:rsidRDefault="00B53B13" w:rsidP="00E53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35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901445"/>
    <w:multiLevelType w:val="hybridMultilevel"/>
    <w:tmpl w:val="82C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60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A66298"/>
    <w:multiLevelType w:val="hybridMultilevel"/>
    <w:tmpl w:val="371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1765A"/>
    <w:multiLevelType w:val="hybridMultilevel"/>
    <w:tmpl w:val="C07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5673E"/>
    <w:multiLevelType w:val="hybridMultilevel"/>
    <w:tmpl w:val="0A46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B2AF3"/>
    <w:multiLevelType w:val="hybridMultilevel"/>
    <w:tmpl w:val="E7D2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02826"/>
    <w:multiLevelType w:val="hybridMultilevel"/>
    <w:tmpl w:val="DD60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D062E"/>
    <w:multiLevelType w:val="hybridMultilevel"/>
    <w:tmpl w:val="7C1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62252"/>
    <w:multiLevelType w:val="hybridMultilevel"/>
    <w:tmpl w:val="74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F27C5"/>
    <w:multiLevelType w:val="hybridMultilevel"/>
    <w:tmpl w:val="1DBE72FC"/>
    <w:lvl w:ilvl="0" w:tplc="E7704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B60105E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A9"/>
    <w:rsid w:val="0000122A"/>
    <w:rsid w:val="00001D26"/>
    <w:rsid w:val="00010BD1"/>
    <w:rsid w:val="00031A19"/>
    <w:rsid w:val="0005218F"/>
    <w:rsid w:val="000547D8"/>
    <w:rsid w:val="00077771"/>
    <w:rsid w:val="00085B30"/>
    <w:rsid w:val="00094D35"/>
    <w:rsid w:val="000A51CF"/>
    <w:rsid w:val="000B154A"/>
    <w:rsid w:val="000C686B"/>
    <w:rsid w:val="000C7AA9"/>
    <w:rsid w:val="000D0EF5"/>
    <w:rsid w:val="000D7564"/>
    <w:rsid w:val="000F5C9C"/>
    <w:rsid w:val="00114B46"/>
    <w:rsid w:val="0013434C"/>
    <w:rsid w:val="00136984"/>
    <w:rsid w:val="0014665F"/>
    <w:rsid w:val="00147653"/>
    <w:rsid w:val="00154539"/>
    <w:rsid w:val="0015482C"/>
    <w:rsid w:val="00162497"/>
    <w:rsid w:val="00170201"/>
    <w:rsid w:val="001747BD"/>
    <w:rsid w:val="00176844"/>
    <w:rsid w:val="001A68D3"/>
    <w:rsid w:val="001C2ED8"/>
    <w:rsid w:val="001D0D47"/>
    <w:rsid w:val="001D1B1B"/>
    <w:rsid w:val="001D1B31"/>
    <w:rsid w:val="001D2844"/>
    <w:rsid w:val="001D3C79"/>
    <w:rsid w:val="001E0C89"/>
    <w:rsid w:val="001E71BE"/>
    <w:rsid w:val="001F126A"/>
    <w:rsid w:val="001F2E14"/>
    <w:rsid w:val="001F7CF2"/>
    <w:rsid w:val="002000CF"/>
    <w:rsid w:val="00201FB4"/>
    <w:rsid w:val="002231BD"/>
    <w:rsid w:val="00233894"/>
    <w:rsid w:val="002349BD"/>
    <w:rsid w:val="002605DB"/>
    <w:rsid w:val="00265D84"/>
    <w:rsid w:val="00267DC7"/>
    <w:rsid w:val="00283727"/>
    <w:rsid w:val="00286318"/>
    <w:rsid w:val="0029043E"/>
    <w:rsid w:val="00297601"/>
    <w:rsid w:val="002A2ED7"/>
    <w:rsid w:val="002A58BE"/>
    <w:rsid w:val="002A7541"/>
    <w:rsid w:val="002B519B"/>
    <w:rsid w:val="002B599B"/>
    <w:rsid w:val="002B7777"/>
    <w:rsid w:val="002C283D"/>
    <w:rsid w:val="002C5E17"/>
    <w:rsid w:val="002E0AD0"/>
    <w:rsid w:val="002F0E1E"/>
    <w:rsid w:val="002F1580"/>
    <w:rsid w:val="003002D5"/>
    <w:rsid w:val="00300CE0"/>
    <w:rsid w:val="00307FAF"/>
    <w:rsid w:val="00322608"/>
    <w:rsid w:val="00323A3F"/>
    <w:rsid w:val="003402BD"/>
    <w:rsid w:val="003448EA"/>
    <w:rsid w:val="003615DA"/>
    <w:rsid w:val="00361A25"/>
    <w:rsid w:val="003649CD"/>
    <w:rsid w:val="0038461F"/>
    <w:rsid w:val="003A07A6"/>
    <w:rsid w:val="003A1F02"/>
    <w:rsid w:val="003B0ED4"/>
    <w:rsid w:val="003B6832"/>
    <w:rsid w:val="003C110A"/>
    <w:rsid w:val="003D050E"/>
    <w:rsid w:val="003F28F8"/>
    <w:rsid w:val="003F330E"/>
    <w:rsid w:val="003F5070"/>
    <w:rsid w:val="00400D6B"/>
    <w:rsid w:val="00422BDA"/>
    <w:rsid w:val="00424BB2"/>
    <w:rsid w:val="00425C1F"/>
    <w:rsid w:val="00425EAE"/>
    <w:rsid w:val="004428B6"/>
    <w:rsid w:val="00454458"/>
    <w:rsid w:val="004579D4"/>
    <w:rsid w:val="00457B20"/>
    <w:rsid w:val="00472C87"/>
    <w:rsid w:val="00474208"/>
    <w:rsid w:val="00477D70"/>
    <w:rsid w:val="00494CEC"/>
    <w:rsid w:val="004A2D1D"/>
    <w:rsid w:val="004C08C0"/>
    <w:rsid w:val="004C1998"/>
    <w:rsid w:val="004C4020"/>
    <w:rsid w:val="004E77B7"/>
    <w:rsid w:val="00500F2F"/>
    <w:rsid w:val="00525FD5"/>
    <w:rsid w:val="00532540"/>
    <w:rsid w:val="00545C60"/>
    <w:rsid w:val="00546CF8"/>
    <w:rsid w:val="00552A0E"/>
    <w:rsid w:val="00553CE8"/>
    <w:rsid w:val="005572B5"/>
    <w:rsid w:val="00576E95"/>
    <w:rsid w:val="00580048"/>
    <w:rsid w:val="00581B9D"/>
    <w:rsid w:val="00590BA6"/>
    <w:rsid w:val="005B7F00"/>
    <w:rsid w:val="005C6966"/>
    <w:rsid w:val="005E5370"/>
    <w:rsid w:val="005F4EC5"/>
    <w:rsid w:val="005F5B1A"/>
    <w:rsid w:val="005F64B6"/>
    <w:rsid w:val="00600554"/>
    <w:rsid w:val="00603A8F"/>
    <w:rsid w:val="00635AF0"/>
    <w:rsid w:val="006446AB"/>
    <w:rsid w:val="00647C87"/>
    <w:rsid w:val="00652ADC"/>
    <w:rsid w:val="006558A9"/>
    <w:rsid w:val="006634BF"/>
    <w:rsid w:val="00664B84"/>
    <w:rsid w:val="00666975"/>
    <w:rsid w:val="0068134F"/>
    <w:rsid w:val="006B669A"/>
    <w:rsid w:val="006B6DE7"/>
    <w:rsid w:val="006C4F5F"/>
    <w:rsid w:val="006C5462"/>
    <w:rsid w:val="006F04DD"/>
    <w:rsid w:val="006F252E"/>
    <w:rsid w:val="007105AB"/>
    <w:rsid w:val="0071132C"/>
    <w:rsid w:val="00714B42"/>
    <w:rsid w:val="00715DA0"/>
    <w:rsid w:val="00727E30"/>
    <w:rsid w:val="00741C99"/>
    <w:rsid w:val="00754062"/>
    <w:rsid w:val="00770863"/>
    <w:rsid w:val="0077500E"/>
    <w:rsid w:val="0077738F"/>
    <w:rsid w:val="007A6822"/>
    <w:rsid w:val="007A6973"/>
    <w:rsid w:val="007A6F18"/>
    <w:rsid w:val="007A792A"/>
    <w:rsid w:val="007B3F37"/>
    <w:rsid w:val="007B4A01"/>
    <w:rsid w:val="007B7F0A"/>
    <w:rsid w:val="007D421B"/>
    <w:rsid w:val="007D6472"/>
    <w:rsid w:val="0080439D"/>
    <w:rsid w:val="00807573"/>
    <w:rsid w:val="00807A89"/>
    <w:rsid w:val="008274A5"/>
    <w:rsid w:val="00830320"/>
    <w:rsid w:val="00831D7B"/>
    <w:rsid w:val="0083668E"/>
    <w:rsid w:val="00840484"/>
    <w:rsid w:val="0084264A"/>
    <w:rsid w:val="008458D2"/>
    <w:rsid w:val="008527DD"/>
    <w:rsid w:val="0086716E"/>
    <w:rsid w:val="008678F2"/>
    <w:rsid w:val="008A3544"/>
    <w:rsid w:val="008A4974"/>
    <w:rsid w:val="008B45EE"/>
    <w:rsid w:val="008C0827"/>
    <w:rsid w:val="008C2BF5"/>
    <w:rsid w:val="008C4373"/>
    <w:rsid w:val="008D7DD0"/>
    <w:rsid w:val="008F6623"/>
    <w:rsid w:val="008F71E9"/>
    <w:rsid w:val="009000A4"/>
    <w:rsid w:val="009144AB"/>
    <w:rsid w:val="0091788A"/>
    <w:rsid w:val="00925AB9"/>
    <w:rsid w:val="00954893"/>
    <w:rsid w:val="00981FC7"/>
    <w:rsid w:val="00990186"/>
    <w:rsid w:val="009951DF"/>
    <w:rsid w:val="009A5561"/>
    <w:rsid w:val="009B2315"/>
    <w:rsid w:val="009B2C9D"/>
    <w:rsid w:val="009C2220"/>
    <w:rsid w:val="009D0B60"/>
    <w:rsid w:val="009D6ED4"/>
    <w:rsid w:val="009E7C81"/>
    <w:rsid w:val="009F232D"/>
    <w:rsid w:val="00A0165A"/>
    <w:rsid w:val="00A0544B"/>
    <w:rsid w:val="00A10E89"/>
    <w:rsid w:val="00A1562F"/>
    <w:rsid w:val="00A1596E"/>
    <w:rsid w:val="00A33C3F"/>
    <w:rsid w:val="00A64C09"/>
    <w:rsid w:val="00A719DE"/>
    <w:rsid w:val="00A80965"/>
    <w:rsid w:val="00A904CB"/>
    <w:rsid w:val="00A96718"/>
    <w:rsid w:val="00AA127C"/>
    <w:rsid w:val="00AA5B72"/>
    <w:rsid w:val="00AD0D82"/>
    <w:rsid w:val="00AD20F7"/>
    <w:rsid w:val="00AD59F6"/>
    <w:rsid w:val="00AF3D5A"/>
    <w:rsid w:val="00B15631"/>
    <w:rsid w:val="00B17D4F"/>
    <w:rsid w:val="00B20F07"/>
    <w:rsid w:val="00B23CD1"/>
    <w:rsid w:val="00B36079"/>
    <w:rsid w:val="00B519D3"/>
    <w:rsid w:val="00B53B13"/>
    <w:rsid w:val="00B6117D"/>
    <w:rsid w:val="00B66B51"/>
    <w:rsid w:val="00B66C39"/>
    <w:rsid w:val="00B7045F"/>
    <w:rsid w:val="00B82B9C"/>
    <w:rsid w:val="00BB1BDD"/>
    <w:rsid w:val="00BB1D7B"/>
    <w:rsid w:val="00BB5F81"/>
    <w:rsid w:val="00BC4B8E"/>
    <w:rsid w:val="00BD134B"/>
    <w:rsid w:val="00C04569"/>
    <w:rsid w:val="00C1570D"/>
    <w:rsid w:val="00C2075B"/>
    <w:rsid w:val="00C20A3F"/>
    <w:rsid w:val="00C3755F"/>
    <w:rsid w:val="00C438CB"/>
    <w:rsid w:val="00C439CC"/>
    <w:rsid w:val="00C5126E"/>
    <w:rsid w:val="00C5606D"/>
    <w:rsid w:val="00C56BD0"/>
    <w:rsid w:val="00C653FE"/>
    <w:rsid w:val="00C679EC"/>
    <w:rsid w:val="00C759E5"/>
    <w:rsid w:val="00C76509"/>
    <w:rsid w:val="00C87DFE"/>
    <w:rsid w:val="00CA2FA9"/>
    <w:rsid w:val="00CA605F"/>
    <w:rsid w:val="00CC40C7"/>
    <w:rsid w:val="00CC4E48"/>
    <w:rsid w:val="00CE22FC"/>
    <w:rsid w:val="00CE2A3B"/>
    <w:rsid w:val="00D03FBC"/>
    <w:rsid w:val="00D21818"/>
    <w:rsid w:val="00D22333"/>
    <w:rsid w:val="00D264FE"/>
    <w:rsid w:val="00D4774A"/>
    <w:rsid w:val="00D500E1"/>
    <w:rsid w:val="00D61F25"/>
    <w:rsid w:val="00D64179"/>
    <w:rsid w:val="00D66D23"/>
    <w:rsid w:val="00D8479E"/>
    <w:rsid w:val="00D86D5C"/>
    <w:rsid w:val="00D911F1"/>
    <w:rsid w:val="00D9248F"/>
    <w:rsid w:val="00DF00BB"/>
    <w:rsid w:val="00E07506"/>
    <w:rsid w:val="00E24F55"/>
    <w:rsid w:val="00E416AA"/>
    <w:rsid w:val="00E52B6A"/>
    <w:rsid w:val="00E53C30"/>
    <w:rsid w:val="00E5621F"/>
    <w:rsid w:val="00E67D75"/>
    <w:rsid w:val="00E73B62"/>
    <w:rsid w:val="00E75CDD"/>
    <w:rsid w:val="00E92166"/>
    <w:rsid w:val="00EA061F"/>
    <w:rsid w:val="00EA7A4F"/>
    <w:rsid w:val="00EB3347"/>
    <w:rsid w:val="00EC1434"/>
    <w:rsid w:val="00ED19E3"/>
    <w:rsid w:val="00ED21E0"/>
    <w:rsid w:val="00EE375C"/>
    <w:rsid w:val="00EF39F8"/>
    <w:rsid w:val="00F00962"/>
    <w:rsid w:val="00F00F0F"/>
    <w:rsid w:val="00F046EA"/>
    <w:rsid w:val="00F07313"/>
    <w:rsid w:val="00F07D6D"/>
    <w:rsid w:val="00F10C5B"/>
    <w:rsid w:val="00F21E3E"/>
    <w:rsid w:val="00F3557B"/>
    <w:rsid w:val="00F37A13"/>
    <w:rsid w:val="00F4190F"/>
    <w:rsid w:val="00F43B4E"/>
    <w:rsid w:val="00F5034B"/>
    <w:rsid w:val="00F50F8C"/>
    <w:rsid w:val="00F51D5E"/>
    <w:rsid w:val="00F53CEB"/>
    <w:rsid w:val="00F557C1"/>
    <w:rsid w:val="00F63492"/>
    <w:rsid w:val="00F7255F"/>
    <w:rsid w:val="00F86454"/>
    <w:rsid w:val="00F87449"/>
    <w:rsid w:val="00F969DE"/>
    <w:rsid w:val="00FA2FA6"/>
    <w:rsid w:val="00FA31E9"/>
    <w:rsid w:val="00FB2D81"/>
    <w:rsid w:val="00FD7AB1"/>
    <w:rsid w:val="00FE0971"/>
    <w:rsid w:val="00FE147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1D7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locked/>
    <w:rsid w:val="001D1B1B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BB1D7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1D1B1B"/>
    <w:rPr>
      <w:rFonts w:cs="Times New Roman"/>
      <w:sz w:val="24"/>
      <w:szCs w:val="24"/>
    </w:rPr>
  </w:style>
  <w:style w:type="table" w:styleId="a5">
    <w:name w:val="Table Grid"/>
    <w:basedOn w:val="a1"/>
    <w:rsid w:val="008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74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locked/>
    <w:rsid w:val="001D1B1B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807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D1B1B"/>
    <w:rPr>
      <w:rFonts w:cs="Times New Roman"/>
      <w:sz w:val="2"/>
      <w:szCs w:val="2"/>
    </w:rPr>
  </w:style>
  <w:style w:type="paragraph" w:customStyle="1" w:styleId="1">
    <w:name w:val="Знак1 Знак Знак Знак"/>
    <w:basedOn w:val="a"/>
    <w:rsid w:val="00CE2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B777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header"/>
    <w:basedOn w:val="a"/>
    <w:link w:val="ab"/>
    <w:rsid w:val="00E53C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53C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FA14-0330-4E01-B108-30467B0F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336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</dc:creator>
  <cp:keywords/>
  <dc:description/>
  <cp:lastModifiedBy>Савина</cp:lastModifiedBy>
  <cp:revision>4</cp:revision>
  <cp:lastPrinted>2019-09-25T11:38:00Z</cp:lastPrinted>
  <dcterms:created xsi:type="dcterms:W3CDTF">2021-10-01T04:43:00Z</dcterms:created>
  <dcterms:modified xsi:type="dcterms:W3CDTF">2021-10-22T10:55:00Z</dcterms:modified>
</cp:coreProperties>
</file>